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7AD1C6">
      <w:pPr>
        <w:pStyle w:val="2"/>
        <w:pageBreakBefore w:val="0"/>
        <w:widowControl/>
        <w:kinsoku/>
        <w:overflowPunct w:val="0"/>
        <w:topLinePunct w:val="0"/>
        <w:autoSpaceDE w:val="0"/>
        <w:autoSpaceDN w:val="0"/>
        <w:bidi w:val="0"/>
        <w:snapToGrid/>
        <w:spacing w:beforeAutospacing="0" w:after="0" w:afterAutospacing="0" w:line="560" w:lineRule="exact"/>
        <w:ind w:left="0" w:leftChars="0" w:right="0" w:firstLine="0" w:firstLineChars="0"/>
        <w:jc w:val="center"/>
        <w:rPr>
          <w:rFonts w:hint="eastAsia" w:ascii="华文中宋" w:hAnsi="华文中宋" w:eastAsia="华文中宋" w:cs="华文中宋"/>
          <w:kern w:val="2"/>
          <w:sz w:val="44"/>
          <w:szCs w:val="44"/>
          <w:u w:val="none"/>
          <w:lang w:val="en-US" w:eastAsia="zh-CN" w:bidi="ar-SA"/>
        </w:rPr>
      </w:pPr>
      <w:r>
        <w:rPr>
          <w:rFonts w:hint="eastAsia" w:ascii="华文中宋" w:hAnsi="华文中宋" w:eastAsia="华文中宋" w:cs="华文中宋"/>
          <w:kern w:val="2"/>
          <w:sz w:val="44"/>
          <w:szCs w:val="44"/>
          <w:u w:val="none"/>
          <w:lang w:val="en-US" w:eastAsia="zh-CN" w:bidi="ar-SA"/>
        </w:rPr>
        <w:t>中铝物流集团有限公司业务风控管理系统</w:t>
      </w:r>
    </w:p>
    <w:p w14:paraId="59C77C1E">
      <w:pPr>
        <w:pStyle w:val="2"/>
        <w:pageBreakBefore w:val="0"/>
        <w:widowControl/>
        <w:kinsoku/>
        <w:overflowPunct w:val="0"/>
        <w:topLinePunct w:val="0"/>
        <w:autoSpaceDE w:val="0"/>
        <w:autoSpaceDN w:val="0"/>
        <w:bidi w:val="0"/>
        <w:snapToGrid/>
        <w:spacing w:beforeAutospacing="0" w:after="0" w:afterAutospacing="0" w:line="560" w:lineRule="exact"/>
        <w:ind w:left="0" w:leftChars="0" w:right="0" w:firstLine="0" w:firstLineChars="0"/>
        <w:jc w:val="center"/>
        <w:rPr>
          <w:rFonts w:hint="eastAsia" w:ascii="华文中宋" w:hAnsi="华文中宋" w:eastAsia="华文中宋" w:cs="华文中宋"/>
          <w:kern w:val="2"/>
          <w:sz w:val="44"/>
          <w:szCs w:val="44"/>
          <w:u w:val="none"/>
          <w:lang w:val="en-US" w:eastAsia="zh-CN" w:bidi="ar-SA"/>
        </w:rPr>
      </w:pPr>
      <w:r>
        <w:rPr>
          <w:rFonts w:hint="eastAsia" w:ascii="华文中宋" w:hAnsi="华文中宋" w:eastAsia="华文中宋" w:cs="华文中宋"/>
          <w:kern w:val="2"/>
          <w:sz w:val="44"/>
          <w:szCs w:val="44"/>
          <w:u w:val="none"/>
          <w:lang w:val="en-US" w:eastAsia="zh-CN" w:bidi="ar-SA"/>
        </w:rPr>
        <w:t>升级项目公开询比价公告</w:t>
      </w:r>
    </w:p>
    <w:p w14:paraId="7321D7A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Toc19076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项目概况</w:t>
      </w:r>
      <w:bookmarkEnd w:id="0"/>
    </w:p>
    <w:p w14:paraId="1B5D9413">
      <w:pPr>
        <w:pStyle w:val="2"/>
        <w:pageBreakBefore w:val="0"/>
        <w:widowControl/>
        <w:numPr>
          <w:ilvl w:val="0"/>
          <w:numId w:val="2"/>
        </w:numPr>
        <w:kinsoku/>
        <w:overflowPunct w:val="0"/>
        <w:topLinePunct w:val="0"/>
        <w:autoSpaceDE w:val="0"/>
        <w:autoSpaceDN w:val="0"/>
        <w:bidi w:val="0"/>
        <w:snapToGrid/>
        <w:spacing w:beforeAutospacing="0" w:after="0" w:afterAutospacing="0" w:line="560" w:lineRule="exact"/>
        <w:ind w:left="0" w:leftChars="0" w:right="0" w:rightChars="0" w:firstLine="420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none"/>
          <w:lang w:val="en-US" w:eastAsia="zh-CN" w:bidi="ar-SA"/>
        </w:rPr>
        <w:t>项目名称： 中铝物流集团有限公司业务风控管理系统升级服务项目</w:t>
      </w:r>
    </w:p>
    <w:p w14:paraId="7E7B7D90">
      <w:pPr>
        <w:pStyle w:val="2"/>
        <w:pageBreakBefore w:val="0"/>
        <w:widowControl/>
        <w:numPr>
          <w:ilvl w:val="0"/>
          <w:numId w:val="2"/>
        </w:numPr>
        <w:kinsoku/>
        <w:overflowPunct w:val="0"/>
        <w:topLinePunct w:val="0"/>
        <w:autoSpaceDE w:val="0"/>
        <w:autoSpaceDN w:val="0"/>
        <w:bidi w:val="0"/>
        <w:snapToGrid/>
        <w:spacing w:beforeAutospacing="0" w:after="0" w:afterAutospacing="0" w:line="560" w:lineRule="exact"/>
        <w:ind w:left="0" w:leftChars="0" w:right="0" w:rightChars="0" w:firstLine="420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none"/>
          <w:lang w:val="en-US" w:eastAsia="zh-CN" w:bidi="ar-SA"/>
        </w:rPr>
        <w:t>项目类型：服务</w:t>
      </w:r>
    </w:p>
    <w:p w14:paraId="1F20EBE0">
      <w:pPr>
        <w:pStyle w:val="2"/>
        <w:pageBreakBefore w:val="0"/>
        <w:widowControl/>
        <w:numPr>
          <w:ilvl w:val="0"/>
          <w:numId w:val="2"/>
        </w:numPr>
        <w:kinsoku/>
        <w:overflowPunct w:val="0"/>
        <w:topLinePunct w:val="0"/>
        <w:autoSpaceDE w:val="0"/>
        <w:autoSpaceDN w:val="0"/>
        <w:bidi w:val="0"/>
        <w:snapToGrid/>
        <w:spacing w:beforeAutospacing="0" w:after="0" w:afterAutospacing="0" w:line="560" w:lineRule="exact"/>
        <w:ind w:left="0" w:leftChars="0" w:right="0" w:rightChars="0" w:firstLine="420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none"/>
          <w:lang w:val="en-US" w:eastAsia="zh-CN" w:bidi="ar-SA"/>
        </w:rPr>
        <w:t>项目概况： 升级中铝物流在用的业务风控系统，实现以合同管理为核心，实现核心业务风险控制管理线上控制，达成中铝物流加强风险控制的目标。</w:t>
      </w:r>
    </w:p>
    <w:p w14:paraId="5EBCA1CC">
      <w:pPr>
        <w:pStyle w:val="2"/>
        <w:pageBreakBefore w:val="0"/>
        <w:widowControl/>
        <w:numPr>
          <w:ilvl w:val="0"/>
          <w:numId w:val="2"/>
        </w:numPr>
        <w:kinsoku/>
        <w:overflowPunct w:val="0"/>
        <w:topLinePunct w:val="0"/>
        <w:autoSpaceDE w:val="0"/>
        <w:autoSpaceDN w:val="0"/>
        <w:bidi w:val="0"/>
        <w:snapToGrid/>
        <w:spacing w:beforeAutospacing="0" w:after="0" w:afterAutospacing="0" w:line="560" w:lineRule="exact"/>
        <w:ind w:left="0" w:leftChars="0" w:right="0" w:rightChars="0" w:firstLine="420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none"/>
          <w:lang w:val="en-US" w:eastAsia="zh-CN" w:bidi="ar-SA"/>
        </w:rPr>
        <w:t>项目地点：北京市海淀区复兴路乙12号中铝物流集团有限公司</w:t>
      </w:r>
    </w:p>
    <w:p w14:paraId="099957A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1" w:name="_Toc25272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报价人资格要求</w:t>
      </w:r>
      <w:bookmarkEnd w:id="1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</w:t>
      </w:r>
    </w:p>
    <w:tbl>
      <w:tblPr>
        <w:tblStyle w:val="3"/>
        <w:tblW w:w="5000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9"/>
        <w:gridCol w:w="7423"/>
      </w:tblGrid>
      <w:tr w14:paraId="6EAC49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5" w:type="pct"/>
            <w:noWrap w:val="0"/>
            <w:vAlign w:val="center"/>
          </w:tcPr>
          <w:p w14:paraId="7982704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资格项目</w:t>
            </w:r>
          </w:p>
        </w:tc>
        <w:tc>
          <w:tcPr>
            <w:tcW w:w="4354" w:type="pct"/>
            <w:noWrap w:val="0"/>
            <w:vAlign w:val="center"/>
          </w:tcPr>
          <w:p w14:paraId="638E7EBA">
            <w:pPr>
              <w:pStyle w:val="5"/>
              <w:shd w:val="clear" w:color="auto" w:fill="FFFFFF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资格要求</w:t>
            </w:r>
          </w:p>
        </w:tc>
      </w:tr>
      <w:tr w14:paraId="7DAF33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5" w:type="pct"/>
            <w:noWrap w:val="0"/>
            <w:vAlign w:val="center"/>
          </w:tcPr>
          <w:p w14:paraId="489A590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资质要求</w:t>
            </w:r>
          </w:p>
        </w:tc>
        <w:tc>
          <w:tcPr>
            <w:tcW w:w="4354" w:type="pct"/>
            <w:noWrap w:val="0"/>
            <w:vAlign w:val="center"/>
          </w:tcPr>
          <w:p w14:paraId="17BB41CA">
            <w:pPr>
              <w:pStyle w:val="5"/>
              <w:numPr>
                <w:ilvl w:val="0"/>
                <w:numId w:val="0"/>
              </w:numPr>
              <w:shd w:val="clear" w:color="auto" w:fill="FFFFFF"/>
              <w:tabs>
                <w:tab w:val="left" w:pos="175"/>
                <w:tab w:val="left" w:pos="243"/>
              </w:tabs>
              <w:ind w:leftChars="0"/>
              <w:jc w:val="left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报价人在中华人民共和国境内注册，具有独立的民事诉讼主体资格，符合相关法律法规要求，能够独立履行合同。（相关信息以国家企业信用信息公示系统http://www.gsxt.gov.cn/查询结果为准）</w:t>
            </w:r>
          </w:p>
        </w:tc>
      </w:tr>
      <w:tr w14:paraId="08C683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5" w:type="pct"/>
            <w:noWrap w:val="0"/>
            <w:vAlign w:val="center"/>
          </w:tcPr>
          <w:p w14:paraId="407B65D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财务要求</w:t>
            </w:r>
          </w:p>
        </w:tc>
        <w:tc>
          <w:tcPr>
            <w:tcW w:w="4354" w:type="pct"/>
            <w:noWrap w:val="0"/>
            <w:vAlign w:val="center"/>
          </w:tcPr>
          <w:p w14:paraId="79079A3B"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报价人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应具有良好的银行资信和商业信誉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没有处于被责令停业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财产被接管、冻结及破产状态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提供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2023年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至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2025年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【经会计师事务所/审计机构审计或加盖公章】的财务报表或财务报告。（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报价人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的成立时间少于规定年份的，应提供成立以来的财务报表或财务报告）。</w:t>
            </w:r>
          </w:p>
        </w:tc>
      </w:tr>
      <w:tr w14:paraId="7E11CF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5" w:type="pct"/>
            <w:noWrap w:val="0"/>
            <w:vAlign w:val="center"/>
          </w:tcPr>
          <w:p w14:paraId="53F1D37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业绩要求</w:t>
            </w:r>
          </w:p>
        </w:tc>
        <w:tc>
          <w:tcPr>
            <w:tcW w:w="4354" w:type="pct"/>
            <w:noWrap w:val="0"/>
            <w:vAlign w:val="center"/>
          </w:tcPr>
          <w:p w14:paraId="11FAC30D"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报价人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2023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年至今具有不少于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个类似业绩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如全流程合同管理、风控管理等项目）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，提供中标通知书复印件或合同关键页复印件或验收证明复印件，以签署日期为准。</w:t>
            </w:r>
          </w:p>
        </w:tc>
      </w:tr>
      <w:tr w14:paraId="40645F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5" w:type="pct"/>
            <w:noWrap w:val="0"/>
            <w:vAlign w:val="center"/>
          </w:tcPr>
          <w:p w14:paraId="03DCCFB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信誉要求</w:t>
            </w:r>
          </w:p>
        </w:tc>
        <w:tc>
          <w:tcPr>
            <w:tcW w:w="4354" w:type="pct"/>
            <w:noWrap w:val="0"/>
            <w:vAlign w:val="center"/>
          </w:tcPr>
          <w:p w14:paraId="0DC0D1F7"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1.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报价人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在报名期间和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报价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有效期内未被列入中国铝业集团有限公司承包商负面清单。</w:t>
            </w:r>
          </w:p>
          <w:p w14:paraId="25C4C8D8"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.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报价人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在项目评审期间不存在被列为失信被执行人的情形，具体认定以全国法院失信被执行人名单信息公布与查询网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http://zxgk.court.gov.cn/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和信用中国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https://www.creditchina.gov.cn/）网站检索结果为准。</w:t>
            </w:r>
          </w:p>
        </w:tc>
      </w:tr>
      <w:tr w14:paraId="3CAC9B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5" w:type="pct"/>
            <w:noWrap w:val="0"/>
            <w:vAlign w:val="center"/>
          </w:tcPr>
          <w:p w14:paraId="623E27C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其他要求</w:t>
            </w:r>
          </w:p>
        </w:tc>
        <w:tc>
          <w:tcPr>
            <w:tcW w:w="4354" w:type="pct"/>
            <w:noWrap w:val="0"/>
            <w:vAlign w:val="center"/>
          </w:tcPr>
          <w:p w14:paraId="58681403"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不接受联合体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报价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。</w:t>
            </w:r>
          </w:p>
        </w:tc>
      </w:tr>
    </w:tbl>
    <w:p w14:paraId="0938941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2" w:name="_Toc24337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询价文件的获取</w:t>
      </w:r>
      <w:bookmarkEnd w:id="2"/>
    </w:p>
    <w:p w14:paraId="20BBC464">
      <w:pPr>
        <w:pStyle w:val="2"/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 w:val="0"/>
        <w:topLinePunct w:val="0"/>
        <w:autoSpaceDE w:val="0"/>
        <w:autoSpaceDN w:val="0"/>
        <w:bidi w:val="0"/>
        <w:adjustRightInd w:val="0"/>
        <w:snapToGrid/>
        <w:spacing w:beforeAutospacing="0" w:after="0" w:afterAutospacing="0" w:line="560" w:lineRule="exact"/>
        <w:ind w:left="0" w:leftChars="0" w:right="0" w:rightChars="0" w:firstLine="643" w:firstLineChars="0"/>
        <w:jc w:val="left"/>
        <w:textAlignment w:val="baseline"/>
        <w:outlineLvl w:val="2"/>
        <w:rPr>
          <w:rFonts w:hint="eastAsia" w:ascii="仿宋_GB2312" w:hAnsi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bookmarkStart w:id="3" w:name="_Toc18773"/>
      <w:r>
        <w:rPr>
          <w:rFonts w:hint="eastAsia" w:ascii="仿宋_GB2312" w:hAnsi="仿宋_GB2312" w:cs="仿宋_GB2312"/>
          <w:b w:val="0"/>
          <w:bCs w:val="0"/>
          <w:sz w:val="32"/>
          <w:szCs w:val="32"/>
          <w:u w:val="none"/>
          <w:lang w:val="en-US" w:eastAsia="zh-CN"/>
        </w:rPr>
        <w:t>获取时间： 2026-10-23 14:30至 2026-10-25</w:t>
      </w:r>
      <w:bookmarkStart w:id="10" w:name="_GoBack"/>
      <w:bookmarkEnd w:id="10"/>
      <w:r>
        <w:rPr>
          <w:rFonts w:hint="eastAsia" w:ascii="仿宋_GB2312" w:hAnsi="仿宋_GB2312" w:cs="仿宋_GB2312"/>
          <w:b w:val="0"/>
          <w:bCs w:val="0"/>
          <w:sz w:val="32"/>
          <w:szCs w:val="32"/>
          <w:u w:val="none"/>
          <w:lang w:val="en-US" w:eastAsia="zh-CN"/>
        </w:rPr>
        <w:t xml:space="preserve"> 22:00（北京时间）。</w:t>
      </w:r>
      <w:bookmarkEnd w:id="3"/>
    </w:p>
    <w:p w14:paraId="751345E0">
      <w:pPr>
        <w:pStyle w:val="2"/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 w:val="0"/>
        <w:topLinePunct w:val="0"/>
        <w:autoSpaceDE w:val="0"/>
        <w:autoSpaceDN w:val="0"/>
        <w:bidi w:val="0"/>
        <w:adjustRightInd w:val="0"/>
        <w:snapToGrid/>
        <w:spacing w:beforeAutospacing="0" w:after="0" w:afterAutospacing="0" w:line="560" w:lineRule="exact"/>
        <w:ind w:left="0" w:leftChars="0" w:right="0" w:rightChars="0" w:firstLine="643" w:firstLineChars="0"/>
        <w:jc w:val="left"/>
        <w:textAlignment w:val="baseline"/>
        <w:outlineLvl w:val="2"/>
        <w:rPr>
          <w:rFonts w:hint="default" w:ascii="仿宋_GB2312" w:hAnsi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bookmarkStart w:id="4" w:name="_Toc8718"/>
      <w:r>
        <w:rPr>
          <w:rFonts w:hint="eastAsia" w:ascii="仿宋_GB2312" w:hAnsi="仿宋_GB2312" w:cs="仿宋_GB2312"/>
          <w:b w:val="0"/>
          <w:bCs w:val="0"/>
          <w:sz w:val="32"/>
          <w:szCs w:val="32"/>
          <w:u w:val="none"/>
          <w:lang w:val="en-US" w:eastAsia="zh-CN"/>
        </w:rPr>
        <w:t>获取方法：从中铝物流询比价管理系统上获取。</w:t>
      </w:r>
      <w:bookmarkEnd w:id="4"/>
    </w:p>
    <w:p w14:paraId="7CB73DBA">
      <w:pPr>
        <w:pStyle w:val="2"/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 w:val="0"/>
        <w:topLinePunct w:val="0"/>
        <w:autoSpaceDE w:val="0"/>
        <w:autoSpaceDN w:val="0"/>
        <w:bidi w:val="0"/>
        <w:adjustRightInd w:val="0"/>
        <w:snapToGrid/>
        <w:spacing w:beforeAutospacing="0" w:after="0" w:afterAutospacing="0" w:line="560" w:lineRule="exact"/>
        <w:ind w:left="0" w:leftChars="0" w:right="0" w:rightChars="0" w:firstLine="643" w:firstLineChars="0"/>
        <w:jc w:val="left"/>
        <w:textAlignment w:val="baseline"/>
        <w:outlineLvl w:val="2"/>
        <w:rPr>
          <w:rFonts w:hint="eastAsia" w:ascii="仿宋_GB2312" w:hAnsi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bookmarkStart w:id="5" w:name="_Toc28935"/>
      <w:r>
        <w:rPr>
          <w:rFonts w:hint="eastAsia" w:ascii="仿宋_GB2312" w:hAnsi="仿宋_GB2312" w:cs="仿宋_GB2312"/>
          <w:b w:val="0"/>
          <w:bCs w:val="0"/>
          <w:sz w:val="32"/>
          <w:szCs w:val="32"/>
          <w:u w:val="none"/>
          <w:lang w:val="en-US" w:eastAsia="zh-CN"/>
        </w:rPr>
        <w:t>获取流程：</w:t>
      </w:r>
      <w:bookmarkEnd w:id="5"/>
    </w:p>
    <w:p w14:paraId="61DED049">
      <w:pPr>
        <w:pStyle w:val="2"/>
        <w:keepNext w:val="0"/>
        <w:keepLines w:val="0"/>
        <w:pageBreakBefore w:val="0"/>
        <w:widowControl/>
        <w:numPr>
          <w:ilvl w:val="1"/>
          <w:numId w:val="3"/>
        </w:numPr>
        <w:kinsoku/>
        <w:wordWrap/>
        <w:overflowPunct w:val="0"/>
        <w:topLinePunct w:val="0"/>
        <w:autoSpaceDE w:val="0"/>
        <w:autoSpaceDN w:val="0"/>
        <w:bidi w:val="0"/>
        <w:adjustRightInd w:val="0"/>
        <w:snapToGrid/>
        <w:spacing w:beforeAutospacing="0" w:after="0" w:afterAutospacing="0" w:line="560" w:lineRule="exact"/>
        <w:ind w:left="0" w:leftChars="0" w:right="0" w:rightChars="0" w:firstLine="640" w:firstLineChars="200"/>
        <w:jc w:val="left"/>
        <w:textAlignment w:val="baseline"/>
        <w:outlineLvl w:val="2"/>
        <w:rPr>
          <w:rFonts w:hint="eastAsia" w:ascii="仿宋_GB2312" w:hAnsi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bookmarkStart w:id="6" w:name="_Toc22944"/>
      <w:r>
        <w:rPr>
          <w:rFonts w:hint="eastAsia" w:ascii="仿宋_GB2312" w:hAnsi="仿宋_GB2312" w:cs="仿宋_GB2312"/>
          <w:b w:val="0"/>
          <w:bCs w:val="0"/>
          <w:sz w:val="32"/>
          <w:szCs w:val="32"/>
          <w:u w:val="none"/>
          <w:lang w:val="en-US" w:eastAsia="zh-CN"/>
        </w:rPr>
        <w:t>扫描报价二维码</w:t>
      </w:r>
      <w:bookmarkEnd w:id="6"/>
    </w:p>
    <w:p w14:paraId="26E18598">
      <w:pPr>
        <w:pageBreakBefore w:val="0"/>
        <w:kinsoku/>
        <w:topLinePunct w:val="0"/>
        <w:bidi w:val="0"/>
        <w:snapToGrid/>
        <w:spacing w:beforeAutospacing="0" w:afterAutospacing="0" w:line="560" w:lineRule="exact"/>
        <w:ind w:left="0" w:leftChars="0" w:right="0" w:firstLine="480" w:firstLineChars="200"/>
        <w:rPr>
          <w:rFonts w:hint="eastAsia" w:ascii="仿宋_GB2312" w:hAnsi="仿宋_GB2312" w:eastAsia="仿宋_GB2312" w:cs="仿宋_GB2312"/>
          <w:b w:val="0"/>
          <w:bCs w:val="0"/>
          <w:kern w:val="44"/>
          <w:sz w:val="32"/>
          <w:szCs w:val="32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273050</wp:posOffset>
            </wp:positionH>
            <wp:positionV relativeFrom="paragraph">
              <wp:posOffset>12065</wp:posOffset>
            </wp:positionV>
            <wp:extent cx="1952625" cy="1800225"/>
            <wp:effectExtent l="0" t="0" r="0" b="0"/>
            <wp:wrapNone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6B14F098">
      <w:pPr>
        <w:pageBreakBefore w:val="0"/>
        <w:kinsoku/>
        <w:topLinePunct w:val="0"/>
        <w:bidi w:val="0"/>
        <w:snapToGrid/>
        <w:spacing w:beforeAutospacing="0" w:afterAutospacing="0" w:line="560" w:lineRule="exact"/>
        <w:ind w:left="0" w:leftChars="0" w:right="0" w:firstLine="640" w:firstLineChars="200"/>
        <w:rPr>
          <w:rFonts w:hint="eastAsia" w:ascii="仿宋_GB2312" w:hAnsi="仿宋_GB2312" w:eastAsia="仿宋_GB2312" w:cs="仿宋_GB2312"/>
          <w:b w:val="0"/>
          <w:bCs w:val="0"/>
          <w:kern w:val="44"/>
          <w:sz w:val="32"/>
          <w:szCs w:val="32"/>
        </w:rPr>
      </w:pPr>
    </w:p>
    <w:p w14:paraId="174BCF61">
      <w:pPr>
        <w:pageBreakBefore w:val="0"/>
        <w:kinsoku/>
        <w:topLinePunct w:val="0"/>
        <w:bidi w:val="0"/>
        <w:snapToGrid/>
        <w:spacing w:beforeAutospacing="0" w:afterAutospacing="0" w:line="560" w:lineRule="exact"/>
        <w:ind w:left="0" w:leftChars="0" w:right="0" w:firstLine="640" w:firstLineChars="200"/>
        <w:rPr>
          <w:rFonts w:hint="eastAsia" w:ascii="仿宋_GB2312" w:hAnsi="仿宋_GB2312" w:eastAsia="仿宋_GB2312" w:cs="仿宋_GB2312"/>
          <w:b w:val="0"/>
          <w:bCs w:val="0"/>
          <w:kern w:val="44"/>
          <w:sz w:val="32"/>
          <w:szCs w:val="32"/>
        </w:rPr>
      </w:pPr>
    </w:p>
    <w:p w14:paraId="2921D0CC">
      <w:pPr>
        <w:pageBreakBefore w:val="0"/>
        <w:kinsoku/>
        <w:topLinePunct w:val="0"/>
        <w:bidi w:val="0"/>
        <w:snapToGrid/>
        <w:spacing w:beforeAutospacing="0" w:afterAutospacing="0" w:line="560" w:lineRule="exact"/>
        <w:ind w:left="0" w:leftChars="0" w:right="0" w:firstLine="640" w:firstLineChars="200"/>
        <w:rPr>
          <w:rFonts w:hint="eastAsia" w:ascii="仿宋_GB2312" w:hAnsi="仿宋_GB2312" w:eastAsia="仿宋_GB2312" w:cs="仿宋_GB2312"/>
          <w:b w:val="0"/>
          <w:bCs w:val="0"/>
          <w:kern w:val="44"/>
          <w:sz w:val="32"/>
          <w:szCs w:val="32"/>
        </w:rPr>
      </w:pPr>
    </w:p>
    <w:p w14:paraId="56AFED96">
      <w:pPr>
        <w:pageBreakBefore w:val="0"/>
        <w:kinsoku/>
        <w:topLinePunct w:val="0"/>
        <w:bidi w:val="0"/>
        <w:snapToGrid/>
        <w:spacing w:beforeAutospacing="0" w:afterAutospacing="0" w:line="560" w:lineRule="exact"/>
        <w:ind w:left="0" w:leftChars="0" w:right="0" w:firstLine="640" w:firstLineChars="200"/>
        <w:rPr>
          <w:rFonts w:hint="eastAsia" w:ascii="仿宋_GB2312" w:hAnsi="仿宋_GB2312" w:eastAsia="仿宋_GB2312" w:cs="仿宋_GB2312"/>
          <w:b w:val="0"/>
          <w:bCs w:val="0"/>
          <w:kern w:val="44"/>
          <w:sz w:val="32"/>
          <w:szCs w:val="32"/>
        </w:rPr>
      </w:pPr>
    </w:p>
    <w:p w14:paraId="495C8D16">
      <w:pPr>
        <w:pStyle w:val="2"/>
        <w:keepNext w:val="0"/>
        <w:keepLines w:val="0"/>
        <w:pageBreakBefore w:val="0"/>
        <w:widowControl/>
        <w:numPr>
          <w:ilvl w:val="1"/>
          <w:numId w:val="3"/>
        </w:numPr>
        <w:kinsoku/>
        <w:wordWrap/>
        <w:overflowPunct w:val="0"/>
        <w:topLinePunct w:val="0"/>
        <w:autoSpaceDE w:val="0"/>
        <w:autoSpaceDN w:val="0"/>
        <w:bidi w:val="0"/>
        <w:adjustRightInd w:val="0"/>
        <w:snapToGrid/>
        <w:spacing w:beforeAutospacing="0" w:after="0" w:afterAutospacing="0" w:line="560" w:lineRule="exact"/>
        <w:ind w:left="0" w:leftChars="0" w:right="0" w:rightChars="0" w:firstLine="640" w:firstLineChars="200"/>
        <w:jc w:val="left"/>
        <w:textAlignment w:val="baseline"/>
        <w:outlineLvl w:val="2"/>
        <w:rPr>
          <w:rFonts w:hint="eastAsia" w:ascii="仿宋_GB2312" w:hAnsi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bookmarkStart w:id="7" w:name="_Toc15478"/>
      <w:r>
        <w:rPr>
          <w:rFonts w:hint="eastAsia" w:ascii="仿宋_GB2312" w:hAnsi="仿宋_GB2312" w:cs="仿宋_GB2312"/>
          <w:b w:val="0"/>
          <w:bCs w:val="0"/>
          <w:sz w:val="32"/>
          <w:szCs w:val="32"/>
          <w:u w:val="none"/>
          <w:lang w:val="en-US" w:eastAsia="zh-CN"/>
        </w:rPr>
        <w:t>扫码后输入密码zlwl，在打开页面的项目类别选择服务采购，报价项目名称选择XXXX，核对计划编码（项目编码）XXXXX，无误后在项目附件中查看及下载。</w:t>
      </w:r>
      <w:bookmarkEnd w:id="7"/>
    </w:p>
    <w:p w14:paraId="3450F86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8" w:name="_Toc9862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报价文件递交</w:t>
      </w:r>
      <w:bookmarkEnd w:id="8"/>
    </w:p>
    <w:p w14:paraId="008E7E63">
      <w:pPr>
        <w:pageBreakBefore w:val="0"/>
        <w:kinsoku/>
        <w:topLinePunct w:val="0"/>
        <w:bidi w:val="0"/>
        <w:snapToGrid/>
        <w:spacing w:beforeAutospacing="0" w:afterAutospacing="0" w:line="560" w:lineRule="exact"/>
        <w:ind w:left="0" w:leftChars="0" w:right="0" w:firstLine="640" w:firstLineChars="200"/>
        <w:rPr>
          <w:rFonts w:hint="eastAsia" w:ascii="仿宋_GB2312" w:hAnsi="仿宋_GB2312" w:eastAsia="仿宋_GB2312" w:cs="仿宋_GB2312"/>
          <w:b w:val="0"/>
          <w:bCs w:val="0"/>
          <w:kern w:val="44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44"/>
          <w:sz w:val="32"/>
          <w:szCs w:val="32"/>
          <w:lang w:val="en-US" w:eastAsia="zh-CN"/>
        </w:rPr>
        <w:t>递交截止时间：2026年10月30日 18:00（北京时间）</w:t>
      </w:r>
    </w:p>
    <w:p w14:paraId="49472238">
      <w:pPr>
        <w:pageBreakBefore w:val="0"/>
        <w:kinsoku/>
        <w:topLinePunct w:val="0"/>
        <w:bidi w:val="0"/>
        <w:snapToGrid/>
        <w:spacing w:beforeAutospacing="0" w:afterAutospacing="0" w:line="560" w:lineRule="exact"/>
        <w:ind w:left="0" w:leftChars="0" w:right="0" w:firstLine="640" w:firstLineChars="200"/>
        <w:rPr>
          <w:rFonts w:hint="eastAsia" w:ascii="仿宋_GB2312" w:hAnsi="仿宋_GB2312" w:eastAsia="仿宋_GB2312" w:cs="仿宋_GB2312"/>
          <w:b w:val="0"/>
          <w:bCs w:val="0"/>
          <w:kern w:val="44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44"/>
          <w:sz w:val="32"/>
          <w:szCs w:val="32"/>
          <w:lang w:val="en-US" w:eastAsia="zh-CN"/>
        </w:rPr>
        <w:t>递交方法：一次递交。</w:t>
      </w:r>
    </w:p>
    <w:p w14:paraId="3E7015E1">
      <w:pPr>
        <w:pageBreakBefore w:val="0"/>
        <w:kinsoku/>
        <w:topLinePunct w:val="0"/>
        <w:bidi w:val="0"/>
        <w:snapToGrid/>
        <w:spacing w:beforeAutospacing="0" w:afterAutospacing="0" w:line="560" w:lineRule="exact"/>
        <w:ind w:left="0" w:leftChars="0" w:right="0" w:firstLine="640" w:firstLineChars="200"/>
        <w:rPr>
          <w:rFonts w:hint="default" w:ascii="仿宋_GB2312" w:hAnsi="仿宋_GB2312" w:eastAsia="仿宋_GB2312" w:cs="仿宋_GB2312"/>
          <w:b w:val="0"/>
          <w:bCs w:val="0"/>
          <w:kern w:val="44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44"/>
          <w:sz w:val="32"/>
          <w:szCs w:val="32"/>
          <w:lang w:val="en-US" w:eastAsia="zh-CN"/>
        </w:rPr>
        <w:t>递交地址：中铝物流询比价管理系统（登录方式同询比价文件获取方法）</w:t>
      </w:r>
    </w:p>
    <w:p w14:paraId="1972771F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联系方式</w:t>
      </w:r>
    </w:p>
    <w:p w14:paraId="3CE1627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bookmarkStart w:id="9" w:name="_Toc14159"/>
      <w:r>
        <w:rPr>
          <w:rFonts w:hint="default" w:ascii="黑体" w:hAnsi="黑体" w:eastAsia="黑体" w:cs="黑体"/>
          <w:sz w:val="32"/>
          <w:szCs w:val="32"/>
          <w:lang w:val="en-US" w:eastAsia="zh-CN"/>
        </w:rPr>
        <w:t>联系方式</w:t>
      </w:r>
      <w:bookmarkEnd w:id="9"/>
    </w:p>
    <w:p w14:paraId="1B3C846A">
      <w:pPr>
        <w:pageBreakBefore w:val="0"/>
        <w:kinsoku/>
        <w:topLinePunct w:val="0"/>
        <w:bidi w:val="0"/>
        <w:snapToGrid/>
        <w:spacing w:beforeAutospacing="0" w:afterAutospacing="0" w:line="560" w:lineRule="exact"/>
        <w:ind w:left="0" w:leftChars="0" w:right="0" w:firstLine="640" w:firstLineChars="200"/>
        <w:rPr>
          <w:rFonts w:hint="default" w:ascii="仿宋_GB2312" w:hAnsi="仿宋_GB2312" w:eastAsia="仿宋_GB2312" w:cs="仿宋_GB2312"/>
          <w:b w:val="0"/>
          <w:bCs w:val="0"/>
          <w:kern w:val="44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44"/>
          <w:sz w:val="32"/>
          <w:szCs w:val="32"/>
          <w:lang w:val="en-US" w:eastAsia="zh-CN"/>
        </w:rPr>
        <w:t>招标人：中铝物流集团有限公司</w:t>
      </w:r>
    </w:p>
    <w:p w14:paraId="2851CF79">
      <w:pPr>
        <w:pageBreakBefore w:val="0"/>
        <w:kinsoku/>
        <w:topLinePunct w:val="0"/>
        <w:bidi w:val="0"/>
        <w:snapToGrid/>
        <w:spacing w:beforeAutospacing="0" w:afterAutospacing="0" w:line="560" w:lineRule="exact"/>
        <w:ind w:left="0" w:leftChars="0" w:right="0" w:firstLine="640" w:firstLineChars="100"/>
        <w:rPr>
          <w:rFonts w:hint="default" w:ascii="仿宋_GB2312" w:hAnsi="仿宋_GB2312" w:eastAsia="仿宋_GB2312" w:cs="仿宋_GB2312"/>
          <w:b w:val="0"/>
          <w:bCs w:val="0"/>
          <w:kern w:val="44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911117799"/>
          <w:lang w:val="en-US" w:eastAsia="zh-CN"/>
        </w:rPr>
        <w:t>地</w:t>
      </w:r>
      <w:r>
        <w:rPr>
          <w:rFonts w:hint="default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911117799"/>
          <w:lang w:val="en-US" w:eastAsia="zh-CN"/>
        </w:rPr>
        <w:t>址</w:t>
      </w:r>
      <w:r>
        <w:rPr>
          <w:rFonts w:hint="default" w:ascii="仿宋_GB2312" w:hAnsi="仿宋_GB2312" w:eastAsia="仿宋_GB2312" w:cs="仿宋_GB2312"/>
          <w:b w:val="0"/>
          <w:bCs w:val="0"/>
          <w:kern w:val="44"/>
          <w:sz w:val="32"/>
          <w:szCs w:val="32"/>
          <w:lang w:val="en-US" w:eastAsia="zh-CN"/>
        </w:rPr>
        <w:t>：北京市海淀区复兴路乙12号12层</w:t>
      </w:r>
    </w:p>
    <w:p w14:paraId="7F6E6E46">
      <w:pPr>
        <w:pageBreakBefore w:val="0"/>
        <w:kinsoku/>
        <w:topLinePunct w:val="0"/>
        <w:bidi w:val="0"/>
        <w:snapToGrid/>
        <w:spacing w:beforeAutospacing="0" w:afterAutospacing="0" w:line="560" w:lineRule="exact"/>
        <w:ind w:left="0" w:leftChars="0" w:right="0" w:firstLine="640" w:firstLineChars="200"/>
        <w:rPr>
          <w:rFonts w:hint="default" w:ascii="仿宋_GB2312" w:hAnsi="仿宋_GB2312" w:eastAsia="仿宋_GB2312" w:cs="仿宋_GB2312"/>
          <w:b w:val="0"/>
          <w:bCs w:val="0"/>
          <w:kern w:val="44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44"/>
          <w:sz w:val="32"/>
          <w:szCs w:val="32"/>
          <w:lang w:val="en-US" w:eastAsia="zh-CN"/>
        </w:rPr>
        <w:t>联系人：</w:t>
      </w:r>
      <w:r>
        <w:rPr>
          <w:rFonts w:hint="eastAsia" w:ascii="仿宋_GB2312" w:hAnsi="仿宋_GB2312" w:eastAsia="仿宋_GB2312" w:cs="仿宋_GB2312"/>
          <w:b w:val="0"/>
          <w:bCs w:val="0"/>
          <w:kern w:val="44"/>
          <w:sz w:val="32"/>
          <w:szCs w:val="32"/>
          <w:lang w:val="en-US" w:eastAsia="zh-CN"/>
        </w:rPr>
        <w:t>何军</w:t>
      </w:r>
    </w:p>
    <w:p w14:paraId="57459710">
      <w:pPr>
        <w:pageBreakBefore w:val="0"/>
        <w:kinsoku/>
        <w:topLinePunct w:val="0"/>
        <w:bidi w:val="0"/>
        <w:snapToGrid/>
        <w:spacing w:beforeAutospacing="0" w:afterAutospacing="0" w:line="560" w:lineRule="exact"/>
        <w:ind w:left="0" w:leftChars="0" w:right="0" w:firstLine="640" w:firstLineChars="100"/>
        <w:rPr>
          <w:rFonts w:hint="default" w:ascii="仿宋_GB2312" w:hAnsi="仿宋_GB2312" w:eastAsia="仿宋_GB2312" w:cs="仿宋_GB2312"/>
          <w:b w:val="0"/>
          <w:bCs w:val="0"/>
          <w:kern w:val="44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960" w:id="1842702553"/>
          <w:lang w:val="en-US" w:eastAsia="zh-CN"/>
        </w:rPr>
        <w:t>电</w:t>
      </w:r>
      <w:r>
        <w:rPr>
          <w:rFonts w:hint="default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960" w:id="1842702553"/>
          <w:lang w:val="en-US" w:eastAsia="zh-CN"/>
        </w:rPr>
        <w:t>话</w:t>
      </w:r>
      <w:r>
        <w:rPr>
          <w:rFonts w:hint="default" w:ascii="仿宋_GB2312" w:hAnsi="仿宋_GB2312" w:eastAsia="仿宋_GB2312" w:cs="仿宋_GB2312"/>
          <w:b w:val="0"/>
          <w:bCs w:val="0"/>
          <w:kern w:val="44"/>
          <w:sz w:val="32"/>
          <w:szCs w:val="32"/>
          <w:lang w:val="en-US" w:eastAsia="zh-CN"/>
        </w:rPr>
        <w:t>：010639</w:t>
      </w:r>
      <w:r>
        <w:rPr>
          <w:rFonts w:hint="eastAsia" w:ascii="仿宋_GB2312" w:hAnsi="仿宋_GB2312" w:eastAsia="仿宋_GB2312" w:cs="仿宋_GB2312"/>
          <w:b w:val="0"/>
          <w:bCs w:val="0"/>
          <w:kern w:val="44"/>
          <w:sz w:val="32"/>
          <w:szCs w:val="32"/>
          <w:lang w:val="en-US" w:eastAsia="zh-CN"/>
        </w:rPr>
        <w:t>8</w:t>
      </w:r>
      <w:r>
        <w:rPr>
          <w:rFonts w:hint="default" w:ascii="仿宋_GB2312" w:hAnsi="仿宋_GB2312" w:eastAsia="仿宋_GB2312" w:cs="仿宋_GB2312"/>
          <w:b w:val="0"/>
          <w:bCs w:val="0"/>
          <w:kern w:val="44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 w:val="0"/>
          <w:bCs w:val="0"/>
          <w:kern w:val="44"/>
          <w:sz w:val="32"/>
          <w:szCs w:val="32"/>
          <w:lang w:val="en-US" w:eastAsia="zh-CN"/>
        </w:rPr>
        <w:t>501</w:t>
      </w:r>
    </w:p>
    <w:p w14:paraId="53077D98">
      <w:pPr>
        <w:pageBreakBefore w:val="0"/>
        <w:kinsoku/>
        <w:topLinePunct w:val="0"/>
        <w:bidi w:val="0"/>
        <w:snapToGrid/>
        <w:spacing w:beforeAutospacing="0" w:afterAutospacing="0" w:line="560" w:lineRule="exact"/>
        <w:ind w:left="0" w:leftChars="0" w:right="0" w:firstLine="640" w:firstLineChars="200"/>
      </w:pPr>
      <w:r>
        <w:rPr>
          <w:rFonts w:hint="default" w:ascii="仿宋_GB2312" w:hAnsi="仿宋_GB2312" w:eastAsia="仿宋_GB2312" w:cs="仿宋_GB2312"/>
          <w:b w:val="0"/>
          <w:bCs w:val="0"/>
          <w:kern w:val="44"/>
          <w:sz w:val="32"/>
          <w:szCs w:val="32"/>
          <w:lang w:val="en-US" w:eastAsia="zh-CN"/>
        </w:rPr>
        <w:t>电子邮件：</w:t>
      </w:r>
      <w:r>
        <w:rPr>
          <w:rFonts w:hint="eastAsia" w:ascii="仿宋_GB2312" w:hAnsi="仿宋_GB2312" w:eastAsia="仿宋_GB2312" w:cs="仿宋_GB2312"/>
          <w:b w:val="0"/>
          <w:bCs w:val="0"/>
          <w:kern w:val="44"/>
          <w:sz w:val="32"/>
          <w:szCs w:val="32"/>
          <w:lang w:val="en-US" w:eastAsia="zh-CN"/>
        </w:rPr>
        <w:t>hj@chinalco.com.cn</w:t>
      </w:r>
    </w:p>
    <w:sectPr>
      <w:pgSz w:w="11906" w:h="16838"/>
      <w:pgMar w:top="1157" w:right="1800" w:bottom="1157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Nimbus Roman No9 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E926FB"/>
    <w:multiLevelType w:val="singleLevel"/>
    <w:tmpl w:val="DFE926FB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1">
    <w:nsid w:val="4BEE503A"/>
    <w:multiLevelType w:val="singleLevel"/>
    <w:tmpl w:val="4BEE503A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</w:abstractNum>
  <w:abstractNum w:abstractNumId="2">
    <w:nsid w:val="6E53EF1D"/>
    <w:multiLevelType w:val="multilevel"/>
    <w:tmpl w:val="6E53EF1D"/>
    <w:lvl w:ilvl="0" w:tentative="0">
      <w:start w:val="1"/>
      <w:numFmt w:val="decimal"/>
      <w:suff w:val="nothing"/>
      <w:lvlText w:val="%1."/>
      <w:lvlJc w:val="left"/>
      <w:pPr>
        <w:ind w:left="0" w:leftChars="0" w:firstLine="643" w:firstLineChars="0"/>
      </w:pPr>
      <w:rPr>
        <w:rFonts w:hint="default"/>
      </w:rPr>
    </w:lvl>
    <w:lvl w:ilvl="1" w:tentative="0">
      <w:start w:val="1"/>
      <w:numFmt w:val="decimal"/>
      <w:suff w:val="nothing"/>
      <w:lvlText w:val="%1.%2.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16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126838"/>
    <w:rsid w:val="0CD7DCE0"/>
    <w:rsid w:val="40126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adjustRightInd w:val="0"/>
      <w:spacing w:after="120" w:line="312" w:lineRule="atLeast"/>
      <w:textAlignment w:val="baseline"/>
    </w:pPr>
    <w:rPr>
      <w:rFonts w:ascii="Times New Roman" w:hAnsi="Times New Roman" w:eastAsia="仿宋_GB2312"/>
      <w:kern w:val="0"/>
      <w:sz w:val="32"/>
      <w:szCs w:val="20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中国铝业股份有限公司</Company>
  <Pages>2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Office_12.1.2.25882_F1E327BC-269C-435d-A152-05C5408002CA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2026-10-22T08:53:00Z</dcterms:created>
  <dc:creator>老何</dc:creator>
  <cp:lastModifiedBy>HUAWEI</cp:lastModifiedBy>
  <dcterms:modified xsi:type="dcterms:W3CDTF">2026-10-23T14:20:51Z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2052-12.1.2.25882</vt:lpwstr>
  </property>
  <property fmtid="{D5CDD505-2E9C-101B-9397-08002B2CF9AE}" pid="3" name="ICV">
    <vt:lpwstr>D0E17AC9AF73497C955F4C8F89A138C3_11</vt:lpwstr>
  </property>
  <property fmtid="{D5CDD505-2E9C-101B-9397-08002B2CF9AE}" pid="4" name="KSOTemplateDocerSaveRecord">
    <vt:lpwstr>eyJoZGlkIjoiMGJjMDUzYWIyNmVkM2RmZTZlMWRkOTc3NmMxZGU5MDUiLCJ1c2VySWQiOiIzOTU0MDg2NjUifQ==</vt:lpwstr>
  </property>
</Properties>
</file>